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0" w:rsidRPr="00F21CB5" w:rsidRDefault="006F67E5" w:rsidP="00504E9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8pt;margin-top:-13.35pt;width:74.8pt;height:34.95pt;z-index:251660288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6" DrawAspect="Content" ObjectID="_1586068093" r:id="rId6"/>
        </w:pict>
      </w:r>
      <w:r w:rsidR="00504E90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1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90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504E90">
        <w:rPr>
          <w:rFonts w:ascii="Times New Roman" w:hAnsi="Times New Roman"/>
          <w:sz w:val="18"/>
          <w:szCs w:val="18"/>
        </w:rPr>
        <w:t>г.</w:t>
      </w:r>
      <w:r w:rsidR="00504E90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5E7EF9" w:rsidRPr="00504E90" w:rsidRDefault="00504E90" w:rsidP="00504E90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</w:p>
    <w:p w:rsidR="00B24703" w:rsidRPr="00504E90" w:rsidRDefault="00B24703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</w:p>
    <w:p w:rsidR="005E7EF9" w:rsidRPr="00504E90" w:rsidRDefault="005E7EF9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504E90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5E7EF9" w:rsidRPr="00504E90" w:rsidRDefault="005E7EF9" w:rsidP="005E7EF9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B24703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</w:p>
    <w:p w:rsidR="00244E87" w:rsidRPr="00B24703" w:rsidRDefault="003A6C9D" w:rsidP="003A6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 xml:space="preserve">Шарнирные консоли обхода «КАЛИБЕР» 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b w:val="0"/>
          <w:color w:val="000000"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>(с горизонтальной и вертикальной осями шарнира)</w:t>
      </w: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Общие сведения</w:t>
      </w:r>
    </w:p>
    <w:p w:rsidR="00A35B98" w:rsidRPr="007A7E04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000000"/>
          <w:sz w:val="20"/>
          <w:szCs w:val="20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b/>
          <w:i/>
          <w:iCs/>
          <w:sz w:val="24"/>
          <w:szCs w:val="24"/>
        </w:rPr>
        <w:t>Шарнирная консоль обхода для систем непрерывной страховки «</w:t>
      </w:r>
      <w:proofErr w:type="spellStart"/>
      <w:r w:rsidRPr="00B24703">
        <w:rPr>
          <w:rFonts w:ascii="Times New Roman" w:hAnsi="Times New Roman"/>
          <w:b/>
          <w:i/>
          <w:iCs/>
          <w:sz w:val="24"/>
          <w:szCs w:val="24"/>
        </w:rPr>
        <w:t>Калибер</w:t>
      </w:r>
      <w:proofErr w:type="spellEnd"/>
      <w:r w:rsidRPr="00B24703">
        <w:rPr>
          <w:rFonts w:ascii="Times New Roman" w:hAnsi="Times New Roman"/>
          <w:b/>
          <w:i/>
          <w:iCs/>
          <w:sz w:val="24"/>
          <w:szCs w:val="24"/>
        </w:rPr>
        <w:t>» с горизонтальной и вертикальной осями шарнира</w:t>
      </w:r>
      <w:r w:rsidRPr="00B24703">
        <w:rPr>
          <w:rFonts w:ascii="Times New Roman" w:hAnsi="Times New Roman"/>
          <w:sz w:val="24"/>
          <w:szCs w:val="24"/>
        </w:rPr>
        <w:t> (далее – Консоль) представляют собой приспособления для закрепления стального троса на анкерн</w:t>
      </w:r>
      <w:r w:rsidR="003D634C" w:rsidRPr="00B24703">
        <w:rPr>
          <w:rFonts w:ascii="Times New Roman" w:hAnsi="Times New Roman"/>
          <w:sz w:val="24"/>
          <w:szCs w:val="24"/>
        </w:rPr>
        <w:t>ых</w:t>
      </w:r>
      <w:r w:rsidRPr="00B24703">
        <w:rPr>
          <w:rFonts w:ascii="Times New Roman" w:hAnsi="Times New Roman"/>
          <w:sz w:val="24"/>
          <w:szCs w:val="24"/>
        </w:rPr>
        <w:t xml:space="preserve"> точк</w:t>
      </w:r>
      <w:r w:rsidR="003D634C" w:rsidRPr="00B24703">
        <w:rPr>
          <w:rFonts w:ascii="Times New Roman" w:hAnsi="Times New Roman"/>
          <w:sz w:val="24"/>
          <w:szCs w:val="24"/>
        </w:rPr>
        <w:t>ах</w:t>
      </w:r>
      <w:r w:rsidRPr="00B24703">
        <w:rPr>
          <w:rFonts w:ascii="Times New Roman" w:hAnsi="Times New Roman"/>
          <w:sz w:val="24"/>
          <w:szCs w:val="24"/>
        </w:rPr>
        <w:t xml:space="preserve"> страховки непрерывной горизонтальной </w:t>
      </w:r>
      <w:r w:rsidR="003D634C" w:rsidRPr="00B24703">
        <w:rPr>
          <w:rFonts w:ascii="Times New Roman" w:hAnsi="Times New Roman"/>
          <w:sz w:val="24"/>
          <w:szCs w:val="24"/>
        </w:rPr>
        <w:t xml:space="preserve">анкерной линии </w:t>
      </w:r>
      <w:r w:rsidRPr="00B24703">
        <w:rPr>
          <w:rFonts w:ascii="Times New Roman" w:hAnsi="Times New Roman"/>
          <w:sz w:val="24"/>
          <w:szCs w:val="24"/>
        </w:rPr>
        <w:t>системы защиты от падения с высоты.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Такие системы защиты или «линии жизни» устанавливаются, например, на краях крыш, вдоль парапетов мостов и эстакад, на пролётах козловых и мостовых кранов, монтажных площадках башен и вышек и т. п., а также находят применение при устройстве веревочных тай-парков.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i/>
          <w:iCs/>
          <w:sz w:val="24"/>
          <w:szCs w:val="24"/>
        </w:rPr>
        <w:t>Консоли обхода с муфтой удерживающей</w:t>
      </w:r>
      <w:r w:rsidRPr="00B24703">
        <w:rPr>
          <w:rFonts w:ascii="Times New Roman" w:hAnsi="Times New Roman"/>
          <w:sz w:val="24"/>
          <w:szCs w:val="24"/>
        </w:rPr>
        <w:t> служат для обеспечения непрерывности страховки на всём протяжении анкерной линии горизонтальной системы защиты от падения с высоты независимо от количества точек её закрепления к конструкциям.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A35B98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rStyle w:val="a4"/>
          <w:color w:val="000000"/>
          <w:sz w:val="20"/>
          <w:szCs w:val="20"/>
        </w:rPr>
      </w:pPr>
    </w:p>
    <w:p w:rsidR="003A6C9D" w:rsidRPr="00B24703" w:rsidRDefault="00596D71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3E15D2">
        <w:rPr>
          <w:rFonts w:ascii="Times New Roman" w:hAnsi="Times New Roman"/>
          <w:sz w:val="24"/>
          <w:szCs w:val="24"/>
        </w:rPr>
        <w:t xml:space="preserve">арнирные </w:t>
      </w:r>
      <w:r>
        <w:rPr>
          <w:rFonts w:ascii="Times New Roman" w:hAnsi="Times New Roman"/>
          <w:sz w:val="24"/>
          <w:szCs w:val="24"/>
        </w:rPr>
        <w:t xml:space="preserve">консоли </w:t>
      </w:r>
      <w:r w:rsidRPr="003E15D2">
        <w:rPr>
          <w:rFonts w:ascii="Times New Roman" w:hAnsi="Times New Roman"/>
          <w:sz w:val="24"/>
          <w:szCs w:val="24"/>
        </w:rPr>
        <w:t>шарнирно прикрепляются к месту закрепления и подвижны при отклонении тросовой направляющей</w:t>
      </w:r>
      <w:r>
        <w:rPr>
          <w:rFonts w:ascii="Times New Roman" w:hAnsi="Times New Roman"/>
          <w:sz w:val="24"/>
          <w:szCs w:val="24"/>
        </w:rPr>
        <w:t>.</w:t>
      </w:r>
      <w:r w:rsidRPr="00B247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A6C9D" w:rsidRPr="00B24703">
        <w:rPr>
          <w:rFonts w:ascii="Times New Roman" w:hAnsi="Times New Roman"/>
          <w:i/>
          <w:iCs/>
          <w:sz w:val="24"/>
          <w:szCs w:val="24"/>
        </w:rPr>
        <w:t>Консоли обхода</w:t>
      </w:r>
      <w:r w:rsidR="003A6C9D" w:rsidRPr="00B24703">
        <w:rPr>
          <w:rFonts w:ascii="Times New Roman" w:hAnsi="Times New Roman"/>
          <w:sz w:val="24"/>
          <w:szCs w:val="24"/>
        </w:rPr>
        <w:t> состоят из муфты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="003A6C9D" w:rsidRPr="00B24703">
        <w:rPr>
          <w:rFonts w:ascii="Times New Roman" w:hAnsi="Times New Roman"/>
          <w:sz w:val="24"/>
          <w:szCs w:val="24"/>
        </w:rPr>
        <w:t xml:space="preserve"> удерживающей</w:t>
      </w:r>
      <w:r w:rsidR="00932582" w:rsidRPr="00B24703">
        <w:rPr>
          <w:rFonts w:ascii="Times New Roman" w:hAnsi="Times New Roman"/>
          <w:sz w:val="24"/>
          <w:szCs w:val="24"/>
        </w:rPr>
        <w:t xml:space="preserve"> трос;</w:t>
      </w:r>
      <w:r w:rsidR="003A6C9D" w:rsidRPr="00B24703">
        <w:rPr>
          <w:rFonts w:ascii="Times New Roman" w:hAnsi="Times New Roman"/>
          <w:sz w:val="24"/>
          <w:szCs w:val="24"/>
        </w:rPr>
        <w:t xml:space="preserve"> </w:t>
      </w:r>
      <w:r w:rsidR="00932582" w:rsidRPr="00B24703">
        <w:rPr>
          <w:rFonts w:ascii="Times New Roman" w:hAnsi="Times New Roman"/>
          <w:sz w:val="24"/>
          <w:szCs w:val="24"/>
        </w:rPr>
        <w:t>пластины (крыла), соединяющей муфту и собственно самой консоли</w:t>
      </w:r>
      <w:r w:rsidR="003A6C9D" w:rsidRPr="00B24703">
        <w:rPr>
          <w:rFonts w:ascii="Times New Roman" w:hAnsi="Times New Roman"/>
          <w:sz w:val="24"/>
          <w:szCs w:val="24"/>
        </w:rPr>
        <w:t xml:space="preserve">, которая конструктивно может быть выполнена </w:t>
      </w:r>
      <w:r w:rsidR="00270F93" w:rsidRPr="00B24703">
        <w:rPr>
          <w:rFonts w:ascii="Times New Roman" w:hAnsi="Times New Roman"/>
          <w:sz w:val="24"/>
          <w:szCs w:val="24"/>
        </w:rPr>
        <w:t xml:space="preserve">как </w:t>
      </w:r>
      <w:r w:rsidR="003A6C9D" w:rsidRPr="00B24703">
        <w:rPr>
          <w:rFonts w:ascii="Times New Roman" w:hAnsi="Times New Roman"/>
          <w:sz w:val="24"/>
          <w:szCs w:val="24"/>
        </w:rPr>
        <w:t xml:space="preserve">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горизонтальной осью шарнира</w:t>
      </w:r>
      <w:r w:rsidR="003A6C9D" w:rsidRPr="00B24703">
        <w:rPr>
          <w:rFonts w:ascii="Times New Roman" w:hAnsi="Times New Roman"/>
          <w:sz w:val="24"/>
          <w:szCs w:val="24"/>
        </w:rPr>
        <w:t xml:space="preserve"> (Рис.1а), </w:t>
      </w:r>
      <w:r w:rsidR="00270F93" w:rsidRPr="00B24703">
        <w:rPr>
          <w:rFonts w:ascii="Times New Roman" w:hAnsi="Times New Roman"/>
          <w:sz w:val="24"/>
          <w:szCs w:val="24"/>
        </w:rPr>
        <w:t xml:space="preserve">так </w:t>
      </w:r>
      <w:r w:rsidR="003A6C9D" w:rsidRPr="00B24703">
        <w:rPr>
          <w:rFonts w:ascii="Times New Roman" w:hAnsi="Times New Roman"/>
          <w:sz w:val="24"/>
          <w:szCs w:val="24"/>
        </w:rPr>
        <w:t xml:space="preserve">и 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вертикальной осью шарнира (Рис.1б)</w:t>
      </w:r>
      <w:r w:rsidR="003A6C9D" w:rsidRPr="00B24703">
        <w:rPr>
          <w:rFonts w:ascii="Times New Roman" w:hAnsi="Times New Roman"/>
          <w:sz w:val="24"/>
          <w:szCs w:val="24"/>
        </w:rPr>
        <w:t>.</w:t>
      </w: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25600" cy="162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либер-консоль горизонталь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либер-консоль вертикальн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888" w:rsidRPr="00194888">
        <w:rPr>
          <w:rFonts w:ascii="Calibri" w:hAnsi="Calibri"/>
          <w:sz w:val="22"/>
          <w:szCs w:val="22"/>
        </w:rPr>
        <w:t xml:space="preserve"> </w:t>
      </w:r>
      <w:r w:rsidR="00194888" w:rsidRPr="0019488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3" name="Рисунок 3" descr="Роликовый тандем-кар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ый тандем-каре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9D" w:rsidRDefault="003A6C9D" w:rsidP="0019488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color w:val="000000"/>
          <w:sz w:val="18"/>
          <w:szCs w:val="18"/>
        </w:rPr>
      </w:pPr>
      <w:r>
        <w:rPr>
          <w:rStyle w:val="a4"/>
          <w:b w:val="0"/>
          <w:color w:val="000000"/>
          <w:sz w:val="18"/>
          <w:szCs w:val="18"/>
        </w:rPr>
        <w:t>а)</w:t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  <w:t>б)</w:t>
      </w:r>
      <w:r w:rsidR="00194888">
        <w:rPr>
          <w:rStyle w:val="a4"/>
          <w:b w:val="0"/>
          <w:color w:val="000000"/>
          <w:sz w:val="18"/>
          <w:szCs w:val="18"/>
        </w:rPr>
        <w:t xml:space="preserve">                                                           в)</w:t>
      </w:r>
    </w:p>
    <w:p w:rsidR="003A6C9D" w:rsidRPr="001C0722" w:rsidRDefault="003A6C9D" w:rsidP="003A6C9D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1C0722">
        <w:rPr>
          <w:rStyle w:val="a4"/>
          <w:rFonts w:ascii="Times New Roman" w:hAnsi="Times New Roman"/>
          <w:b w:val="0"/>
          <w:color w:val="000000"/>
          <w:sz w:val="18"/>
          <w:szCs w:val="18"/>
        </w:rPr>
        <w:t>Рис. 1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35B98" w:rsidRDefault="00A35B98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Благодаря прорези в щеке, тандем-каретка </w:t>
      </w:r>
      <w:r w:rsidR="00932582" w:rsidRPr="00B24703">
        <w:rPr>
          <w:rFonts w:ascii="Times New Roman" w:hAnsi="Times New Roman"/>
          <w:sz w:val="24"/>
          <w:szCs w:val="24"/>
        </w:rPr>
        <w:t xml:space="preserve">«КАЛИБЕР» </w:t>
      </w:r>
      <w:r w:rsidRPr="00B24703">
        <w:rPr>
          <w:rFonts w:ascii="Times New Roman" w:hAnsi="Times New Roman"/>
          <w:sz w:val="24"/>
          <w:szCs w:val="24"/>
        </w:rPr>
        <w:t>при встрече с удерживающей трос консолью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Pr="00B24703">
        <w:rPr>
          <w:rFonts w:ascii="Times New Roman" w:hAnsi="Times New Roman"/>
          <w:sz w:val="24"/>
          <w:szCs w:val="24"/>
        </w:rPr>
        <w:t xml:space="preserve"> благополучно минует консоль, не прерывая процесса страховки. При этом «крыло» консоли — пластина, соединяющая консоль с муфтой, проходит сквозь щель каретки, а ролики каретки перекатываются по муфте, удерживающей канат, а далее катятся уже по канату</w:t>
      </w:r>
      <w:r w:rsidR="00194888">
        <w:rPr>
          <w:rFonts w:ascii="Times New Roman" w:hAnsi="Times New Roman"/>
          <w:sz w:val="24"/>
          <w:szCs w:val="24"/>
        </w:rPr>
        <w:t xml:space="preserve"> (Рис.1в)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0F260C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Изготавливаются консоли обхода с </w:t>
      </w:r>
      <w:proofErr w:type="gramStart"/>
      <w:r w:rsidRPr="00B24703">
        <w:rPr>
          <w:rFonts w:ascii="Times New Roman" w:hAnsi="Times New Roman"/>
          <w:sz w:val="24"/>
          <w:szCs w:val="24"/>
        </w:rPr>
        <w:t>муфтами</w:t>
      </w:r>
      <w:proofErr w:type="gramEnd"/>
      <w:r w:rsidRPr="00B24703">
        <w:rPr>
          <w:rFonts w:ascii="Times New Roman" w:hAnsi="Times New Roman"/>
          <w:sz w:val="24"/>
          <w:szCs w:val="24"/>
        </w:rPr>
        <w:t xml:space="preserve"> удерживающими: в двух исполнениях: для использования с тросами диаметрами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B24703">
        <w:rPr>
          <w:rFonts w:ascii="Times New Roman" w:hAnsi="Times New Roman"/>
          <w:sz w:val="24"/>
          <w:szCs w:val="24"/>
        </w:rPr>
        <w:t xml:space="preserve"> 12 мм.</w:t>
      </w:r>
    </w:p>
    <w:p w:rsidR="00932582" w:rsidRPr="00B6134D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имеются консоли вообще без отверстий для шарниров Рис 2.1 (последние прикрепляются тросом, продетым сквозь трубку консоли - Рис.2.2). И с прутковыми петлями</w:t>
      </w:r>
      <w:r w:rsidR="00BB4EE8">
        <w:rPr>
          <w:rFonts w:ascii="Times New Roman" w:hAnsi="Times New Roman"/>
          <w:sz w:val="24"/>
          <w:szCs w:val="24"/>
        </w:rPr>
        <w:t xml:space="preserve"> (Рис.2.3</w:t>
      </w:r>
      <w:bookmarkStart w:id="0" w:name="_GoBack"/>
      <w:bookmarkEnd w:id="0"/>
      <w:r w:rsidR="00BB4E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которые могут крепиться  и за петлю и </w:t>
      </w:r>
      <w:proofErr w:type="gramStart"/>
      <w:r>
        <w:rPr>
          <w:rFonts w:ascii="Times New Roman" w:hAnsi="Times New Roman"/>
          <w:sz w:val="24"/>
          <w:szCs w:val="24"/>
        </w:rPr>
        <w:t>продетым</w:t>
      </w:r>
      <w:proofErr w:type="gramEnd"/>
      <w:r>
        <w:rPr>
          <w:rFonts w:ascii="Times New Roman" w:hAnsi="Times New Roman"/>
          <w:sz w:val="24"/>
          <w:szCs w:val="24"/>
        </w:rPr>
        <w:t xml:space="preserve"> сквозь трубку трос.</w:t>
      </w:r>
    </w:p>
    <w:p w:rsidR="00B6134D" w:rsidRDefault="00B6134D" w:rsidP="003A6C9D">
      <w:pPr>
        <w:pStyle w:val="a6"/>
        <w:ind w:firstLine="284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Внимание! Необходимо принять меры к недопущению </w:t>
      </w:r>
      <w:proofErr w:type="spell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распушивания</w:t>
      </w:r>
      <w:proofErr w:type="spell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концов троса во избежание травм. Для этого необходимо, или залудить припоем концы троса, или надеть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конца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муфты конечные или муфты предохранительные.</w:t>
      </w:r>
      <w:r w:rsidRPr="00B6134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B6134D" w:rsidRPr="00B6134D" w:rsidRDefault="00B6134D" w:rsidP="003A6C9D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6C9D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476375" cy="1476375"/>
            <wp:effectExtent l="0" t="0" r="0" b="0"/>
            <wp:docPr id="14" name="Рисунок 14" descr="Шарнирная консоль обхода для систем непрерывной страховки Калибер (с трубкой под тр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нирная консоль обхода для систем непрерывной страховки Калибер (с трубкой под трос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r>
        <w:rPr>
          <w:noProof/>
        </w:rPr>
        <w:drawing>
          <wp:inline distT="0" distB="0" distL="0" distR="0">
            <wp:extent cx="1647825" cy="1647825"/>
            <wp:effectExtent l="0" t="0" r="0" b="0"/>
            <wp:docPr id="15" name="Рисунок 15" descr="https://krok.biz/image/cache/catalog/2017/tayparki/sharnirnaya_konsol_obhoda_s_trubkoy_pod_tros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catalog/2017/tayparki/sharnirnaya_konsol_obhoda_s_trubkoy_pod_tros_2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60C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33525" cy="1533525"/>
            <wp:effectExtent l="0" t="0" r="0" b="0"/>
            <wp:docPr id="17" name="Рисунок 17" descr="Шарнирная консоль обхода для систем непрерывной страховки Калибер (с прутковой петлё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нирная консоль обхода для систем непрерывной страховки Калибер (с прутковой петлё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0C" w:rsidRDefault="000F260C" w:rsidP="003A6C9D">
      <w:pPr>
        <w:pStyle w:val="a6"/>
        <w:ind w:firstLine="284"/>
        <w:jc w:val="both"/>
        <w:rPr>
          <w:noProof/>
        </w:rPr>
      </w:pPr>
    </w:p>
    <w:p w:rsidR="000F260C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t xml:space="preserve">                   2.1                                                                 2.2                                                          2.3  </w:t>
      </w:r>
    </w:p>
    <w:p w:rsidR="000F260C" w:rsidRDefault="000F260C" w:rsidP="000F260C">
      <w:pPr>
        <w:pStyle w:val="a6"/>
        <w:ind w:firstLine="284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t>Рис. 2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24703">
        <w:rPr>
          <w:rFonts w:ascii="Times New Roman" w:hAnsi="Times New Roman"/>
          <w:b/>
          <w:bCs/>
          <w:sz w:val="24"/>
          <w:szCs w:val="24"/>
        </w:rPr>
        <w:t>Прочностные характеристики консолей обхода:</w:t>
      </w:r>
    </w:p>
    <w:p w:rsidR="00575A5A" w:rsidRDefault="003A6C9D" w:rsidP="00575A5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Предельная рабочая нагрузка (WLL — </w:t>
      </w:r>
      <w:proofErr w:type="spellStart"/>
      <w:r w:rsidRPr="00B24703">
        <w:rPr>
          <w:rFonts w:ascii="Times New Roman" w:hAnsi="Times New Roman"/>
          <w:sz w:val="24"/>
          <w:szCs w:val="24"/>
        </w:rPr>
        <w:t>Working</w:t>
      </w:r>
      <w:proofErr w:type="spellEnd"/>
      <w:r w:rsidRPr="00B2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703">
        <w:rPr>
          <w:rFonts w:ascii="Times New Roman" w:hAnsi="Times New Roman"/>
          <w:sz w:val="24"/>
          <w:szCs w:val="24"/>
        </w:rPr>
        <w:t>Load</w:t>
      </w:r>
      <w:proofErr w:type="spellEnd"/>
      <w:r w:rsidRPr="00B2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703">
        <w:rPr>
          <w:rFonts w:ascii="Times New Roman" w:hAnsi="Times New Roman"/>
          <w:sz w:val="24"/>
          <w:szCs w:val="24"/>
        </w:rPr>
        <w:t>Limit</w:t>
      </w:r>
      <w:proofErr w:type="spellEnd"/>
      <w:r w:rsidRPr="00B24703">
        <w:rPr>
          <w:rFonts w:ascii="Times New Roman" w:hAnsi="Times New Roman"/>
          <w:sz w:val="24"/>
          <w:szCs w:val="24"/>
        </w:rPr>
        <w:t xml:space="preserve">): </w:t>
      </w:r>
      <w:r w:rsidR="00575A5A" w:rsidRPr="00575A5A">
        <w:rPr>
          <w:rFonts w:ascii="Times New Roman" w:hAnsi="Times New Roman"/>
          <w:sz w:val="24"/>
          <w:szCs w:val="24"/>
        </w:rPr>
        <w:t xml:space="preserve">консоль обхода начинает протравливание зажатого троса при нагрузке в районе </w:t>
      </w:r>
      <w:r w:rsidR="00575A5A" w:rsidRPr="00575A5A">
        <w:rPr>
          <w:rFonts w:ascii="Times New Roman" w:hAnsi="Times New Roman"/>
          <w:b/>
          <w:sz w:val="24"/>
          <w:szCs w:val="24"/>
        </w:rPr>
        <w:t>25кН</w:t>
      </w:r>
      <w:r w:rsidR="00575A5A" w:rsidRPr="00575A5A">
        <w:rPr>
          <w:rFonts w:ascii="Times New Roman" w:hAnsi="Times New Roman"/>
          <w:sz w:val="24"/>
          <w:szCs w:val="24"/>
        </w:rPr>
        <w:t>.</w:t>
      </w:r>
    </w:p>
    <w:p w:rsidR="003A6C9D" w:rsidRPr="00B6134D" w:rsidRDefault="003A6C9D" w:rsidP="00575A5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575A5A">
        <w:rPr>
          <w:rFonts w:ascii="Times New Roman" w:hAnsi="Times New Roman"/>
          <w:sz w:val="24"/>
          <w:szCs w:val="24"/>
        </w:rPr>
        <w:t>Разрушающая</w:t>
      </w:r>
      <w:r w:rsidRPr="00575A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5A5A">
        <w:rPr>
          <w:rFonts w:ascii="Times New Roman" w:hAnsi="Times New Roman"/>
          <w:sz w:val="24"/>
          <w:szCs w:val="24"/>
        </w:rPr>
        <w:t>нагрузка</w:t>
      </w:r>
      <w:r w:rsidRPr="00575A5A">
        <w:rPr>
          <w:rFonts w:ascii="Times New Roman" w:hAnsi="Times New Roman"/>
          <w:sz w:val="24"/>
          <w:szCs w:val="24"/>
          <w:lang w:val="en-US"/>
        </w:rPr>
        <w:t xml:space="preserve"> (MBS — Minimum Breaking Strength): </w:t>
      </w:r>
      <w:r w:rsidR="00575A5A" w:rsidRPr="00575A5A">
        <w:rPr>
          <w:rFonts w:ascii="Times New Roman" w:hAnsi="Times New Roman"/>
          <w:sz w:val="24"/>
          <w:szCs w:val="24"/>
          <w:lang w:val="en-US"/>
        </w:rPr>
        <w:t xml:space="preserve">44 </w:t>
      </w:r>
      <w:r w:rsidRPr="00575A5A">
        <w:rPr>
          <w:rFonts w:ascii="Times New Roman" w:hAnsi="Times New Roman"/>
          <w:sz w:val="24"/>
          <w:szCs w:val="24"/>
        </w:rPr>
        <w:t>к</w:t>
      </w:r>
      <w:proofErr w:type="gramStart"/>
      <w:r w:rsidRPr="00575A5A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3A6C9D" w:rsidRP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A6C9D" w:rsidRPr="0016715A" w:rsidRDefault="003A6C9D" w:rsidP="003A6C9D">
      <w:pPr>
        <w:pStyle w:val="a6"/>
        <w:ind w:firstLine="284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3A6C9D" w:rsidRPr="00575A5A" w:rsidRDefault="003A6C9D" w:rsidP="003A6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  <w:lang w:val="en-US"/>
        </w:rPr>
      </w:pPr>
    </w:p>
    <w:p w:rsidR="003A6C9D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Правила</w:t>
      </w:r>
      <w:r w:rsidR="00270F93" w:rsidRPr="00B24703">
        <w:rPr>
          <w:rStyle w:val="a4"/>
          <w:color w:val="000000"/>
          <w:sz w:val="28"/>
          <w:szCs w:val="28"/>
        </w:rPr>
        <w:t xml:space="preserve"> использования и рекомендации </w:t>
      </w:r>
      <w:r w:rsidRPr="00B24703">
        <w:rPr>
          <w:rStyle w:val="a4"/>
          <w:color w:val="000000"/>
          <w:sz w:val="28"/>
          <w:szCs w:val="28"/>
        </w:rPr>
        <w:t>по эксплуатации</w:t>
      </w:r>
    </w:p>
    <w:p w:rsidR="00194888" w:rsidRPr="00B24703" w:rsidRDefault="00194888" w:rsidP="0019488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Варианты крепления консоли </w:t>
      </w:r>
      <w:r>
        <w:rPr>
          <w:rFonts w:ascii="Times New Roman" w:hAnsi="Times New Roman"/>
          <w:sz w:val="24"/>
          <w:szCs w:val="24"/>
        </w:rPr>
        <w:t xml:space="preserve">связаны с </w:t>
      </w:r>
      <w:r w:rsidRPr="00B24703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ами</w:t>
      </w:r>
      <w:r w:rsidRPr="00B24703">
        <w:rPr>
          <w:rFonts w:ascii="Times New Roman" w:hAnsi="Times New Roman"/>
          <w:sz w:val="24"/>
          <w:szCs w:val="24"/>
        </w:rPr>
        <w:t xml:space="preserve"> расположения </w:t>
      </w:r>
      <w:r>
        <w:rPr>
          <w:rFonts w:ascii="Times New Roman" w:hAnsi="Times New Roman"/>
          <w:sz w:val="24"/>
          <w:szCs w:val="24"/>
        </w:rPr>
        <w:t>оси шарнира (</w:t>
      </w:r>
      <w:r w:rsidRPr="00194888">
        <w:rPr>
          <w:rFonts w:ascii="Times New Roman" w:hAnsi="Times New Roman"/>
          <w:sz w:val="24"/>
          <w:szCs w:val="24"/>
        </w:rPr>
        <w:t xml:space="preserve">горизонтальной </w:t>
      </w:r>
      <w:r>
        <w:rPr>
          <w:rFonts w:ascii="Times New Roman" w:hAnsi="Times New Roman"/>
          <w:sz w:val="24"/>
          <w:szCs w:val="24"/>
        </w:rPr>
        <w:t xml:space="preserve">или вертикальной) </w:t>
      </w:r>
      <w:r w:rsidRPr="00B24703">
        <w:rPr>
          <w:rFonts w:ascii="Times New Roman" w:hAnsi="Times New Roman"/>
          <w:sz w:val="24"/>
          <w:szCs w:val="24"/>
        </w:rPr>
        <w:t xml:space="preserve">относительно плоскости крепления консоли </w:t>
      </w:r>
      <w:r>
        <w:rPr>
          <w:rFonts w:ascii="Times New Roman" w:hAnsi="Times New Roman"/>
          <w:sz w:val="24"/>
          <w:szCs w:val="24"/>
        </w:rPr>
        <w:t>(</w:t>
      </w:r>
      <w:r w:rsidRPr="00B24703">
        <w:rPr>
          <w:rFonts w:ascii="Times New Roman" w:hAnsi="Times New Roman"/>
          <w:sz w:val="24"/>
          <w:szCs w:val="24"/>
        </w:rPr>
        <w:t>Рис.</w:t>
      </w:r>
      <w:r w:rsidR="000F260C">
        <w:rPr>
          <w:rFonts w:ascii="Times New Roman" w:hAnsi="Times New Roman"/>
          <w:sz w:val="24"/>
          <w:szCs w:val="24"/>
        </w:rPr>
        <w:t>3</w:t>
      </w:r>
      <w:r w:rsidRPr="00B247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194888" w:rsidRDefault="00194888" w:rsidP="001948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24703" w:rsidRDefault="00194888" w:rsidP="00194888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3590925" cy="331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888" w:rsidRDefault="00194888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12290" cy="1812290"/>
            <wp:effectExtent l="0" t="0" r="0" b="0"/>
            <wp:docPr id="8" name="Рисунок 8" descr="https://krok.biz/image/cache/data/tayparki/Konsol_obhoda_sharnirnaya_s_vertik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k.biz/image/cache/data/tayparki/Konsol_obhoda_sharnirnaya_s_vertik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840865" cy="1840865"/>
            <wp:effectExtent l="0" t="0" r="0" b="0"/>
            <wp:docPr id="9" name="Рисунок 9" descr="https://krok.biz/image/cache/data/tayparki/Konsol_obhoda_sharnirnaya_s_vertik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data/tayparki/Konsol_obhoda_sharnirnaya_s_vertik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707515" cy="1707515"/>
            <wp:effectExtent l="0" t="0" r="0" b="0"/>
            <wp:docPr id="10" name="Рисунок 10" descr="https://krok.biz/image/cache/data/tayparki/Konsol_obhoda_sharnirnaya_s_vertik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mage/cache/data/tayparki/Konsol_obhoda_sharnirnaya_s_vertik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745615" cy="1745615"/>
            <wp:effectExtent l="0" t="0" r="0" b="0"/>
            <wp:docPr id="11" name="Рисунок 11" descr="https://krok.biz/image/cache/data/tayparki/Konsol_obhoda_sharnirnaya_s_gorizont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tayparki/Konsol_obhoda_sharnirnaya_s_gorizont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88465" cy="1688465"/>
            <wp:effectExtent l="0" t="0" r="0" b="0"/>
            <wp:docPr id="12" name="Рисунок 12" descr="https://krok.biz/image/cache/data/tayparki/Konsol_obhoda_sharnirnaya_s_gorizont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k.biz/image/cache/data/tayparki/Konsol_obhoda_sharnirnaya_s_gorizont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74165" cy="1574165"/>
            <wp:effectExtent l="0" t="0" r="0" b="0"/>
            <wp:docPr id="13" name="Рисунок 13" descr="https://krok.biz/image/cache/data/tayparki/Konsol_obhoda_sharnirnaya_s_gorizont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ok.biz/image/cache/data/tayparki/Konsol_obhoda_sharnirnaya_s_gorizont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 w:rsidRPr="00194888">
        <w:rPr>
          <w:rStyle w:val="a4"/>
          <w:color w:val="000000"/>
          <w:sz w:val="28"/>
          <w:szCs w:val="28"/>
        </w:rPr>
        <w:t xml:space="preserve">Рис. </w:t>
      </w:r>
      <w:r w:rsidR="000F260C">
        <w:rPr>
          <w:rStyle w:val="a4"/>
          <w:color w:val="000000"/>
          <w:sz w:val="28"/>
          <w:szCs w:val="28"/>
        </w:rPr>
        <w:t>3</w:t>
      </w:r>
    </w:p>
    <w:p w:rsidR="009260CC" w:rsidRPr="00B24703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Style w:val="a4"/>
          <w:color w:val="000000"/>
          <w:sz w:val="28"/>
          <w:szCs w:val="28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Закрепляются консоли обхода на анкерных точках или постах подвижным или неподвижным образом в зависимости от особенностей постоянной конструкции, на которой будет производиться монтаж системы и от вида приспособления для закрепления всего устройства на соответствующей анкерной точке.</w:t>
      </w:r>
    </w:p>
    <w:p w:rsidR="009260CC" w:rsidRPr="009260CC" w:rsidRDefault="003A6C9D" w:rsidP="009260C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Трос анкерной направляющей продевается сквозь удерживающие муфты и фиксируется от продольного смещения фиксирующими </w:t>
      </w:r>
      <w:r w:rsidR="00D61643" w:rsidRPr="00B24703">
        <w:rPr>
          <w:rFonts w:ascii="Times New Roman" w:hAnsi="Times New Roman"/>
          <w:sz w:val="24"/>
          <w:szCs w:val="24"/>
        </w:rPr>
        <w:t xml:space="preserve">специальными </w:t>
      </w:r>
      <w:r w:rsidRPr="00B24703">
        <w:rPr>
          <w:rFonts w:ascii="Times New Roman" w:hAnsi="Times New Roman"/>
          <w:sz w:val="24"/>
          <w:szCs w:val="24"/>
        </w:rPr>
        <w:t>винтами</w:t>
      </w:r>
      <w:r w:rsidR="00932582" w:rsidRPr="00B247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32582" w:rsidRPr="00B24703">
        <w:rPr>
          <w:rFonts w:ascii="Times New Roman" w:hAnsi="Times New Roman"/>
          <w:sz w:val="24"/>
          <w:szCs w:val="24"/>
        </w:rPr>
        <w:t>гужонами</w:t>
      </w:r>
      <w:proofErr w:type="spellEnd"/>
      <w:r w:rsidRPr="00B24703">
        <w:rPr>
          <w:rFonts w:ascii="Times New Roman" w:hAnsi="Times New Roman"/>
          <w:sz w:val="24"/>
          <w:szCs w:val="24"/>
        </w:rPr>
        <w:t>, находящимися в теле удерживающих муфт.</w:t>
      </w:r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Внимание! </w:t>
      </w:r>
      <w:proofErr w:type="spellStart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>Гужоны</w:t>
      </w:r>
      <w:proofErr w:type="spellEnd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муфт консолей обхода следует затягивать с максимальным усилием в 1 кг/метр.</w:t>
      </w:r>
      <w:r w:rsidR="009260CC" w:rsidRPr="009260CC">
        <w:rPr>
          <w:rFonts w:ascii="Times New Roman" w:hAnsi="Times New Roman"/>
          <w:sz w:val="24"/>
          <w:szCs w:val="24"/>
        </w:rPr>
        <w:t xml:space="preserve"> Затяжку </w:t>
      </w:r>
      <w:proofErr w:type="spellStart"/>
      <w:r w:rsidR="009260CC" w:rsidRPr="009260CC">
        <w:rPr>
          <w:rFonts w:ascii="Times New Roman" w:hAnsi="Times New Roman"/>
          <w:sz w:val="24"/>
          <w:szCs w:val="24"/>
        </w:rPr>
        <w:t>гужонов</w:t>
      </w:r>
      <w:proofErr w:type="spellEnd"/>
      <w:r w:rsidR="009260CC" w:rsidRPr="009260CC">
        <w:rPr>
          <w:rFonts w:ascii="Times New Roman" w:hAnsi="Times New Roman"/>
          <w:sz w:val="24"/>
          <w:szCs w:val="24"/>
        </w:rPr>
        <w:t xml:space="preserve"> производить последовательно в два-три этапа с щадящим усилием на первых этапах и максимальным на конечном этапе.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Консоли обхода </w:t>
      </w:r>
      <w:r w:rsidR="00D61643" w:rsidRPr="00B24703">
        <w:rPr>
          <w:rFonts w:ascii="Times New Roman" w:hAnsi="Times New Roman"/>
          <w:sz w:val="24"/>
          <w:szCs w:val="24"/>
        </w:rPr>
        <w:t xml:space="preserve">могут служить </w:t>
      </w:r>
      <w:r w:rsidRPr="00B24703">
        <w:rPr>
          <w:rFonts w:ascii="Times New Roman" w:hAnsi="Times New Roman"/>
          <w:sz w:val="24"/>
          <w:szCs w:val="24"/>
        </w:rPr>
        <w:t xml:space="preserve">служат промежуточными </w:t>
      </w:r>
      <w:r w:rsidR="00D61643" w:rsidRPr="00B24703">
        <w:rPr>
          <w:rFonts w:ascii="Times New Roman" w:hAnsi="Times New Roman"/>
          <w:sz w:val="24"/>
          <w:szCs w:val="24"/>
        </w:rPr>
        <w:t xml:space="preserve">или конечными </w:t>
      </w:r>
      <w:r w:rsidRPr="00B24703">
        <w:rPr>
          <w:rFonts w:ascii="Times New Roman" w:hAnsi="Times New Roman"/>
          <w:sz w:val="24"/>
          <w:szCs w:val="24"/>
        </w:rPr>
        <w:t>анкерами.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>Внимание! В случае использования консолей обхода в виде концевых анкеров необходимо последовательно с муфтой удерживающей консоли обхода на рабочий трос установить дополнительн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>ую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удерживающую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муфту.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</w:t>
      </w:r>
    </w:p>
    <w:p w:rsidR="00575A5A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575A5A" w:rsidRPr="00575A5A" w:rsidRDefault="00575A5A" w:rsidP="00575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5A">
        <w:rPr>
          <w:rFonts w:ascii="Times New Roman" w:hAnsi="Times New Roman"/>
          <w:sz w:val="24"/>
          <w:szCs w:val="24"/>
        </w:rPr>
        <w:t xml:space="preserve">Цепочка, состоящая из вышеперечисленных соединений: муфта консоли плюс муфта удерживающая имеет разрушающую нагрузку не менее </w:t>
      </w:r>
      <w:r w:rsidRPr="00575A5A">
        <w:rPr>
          <w:rFonts w:ascii="Times New Roman" w:hAnsi="Times New Roman"/>
          <w:b/>
          <w:sz w:val="24"/>
          <w:szCs w:val="24"/>
        </w:rPr>
        <w:t>45 кН</w:t>
      </w:r>
      <w:r w:rsidRPr="00575A5A">
        <w:rPr>
          <w:rFonts w:ascii="Times New Roman" w:hAnsi="Times New Roman"/>
          <w:sz w:val="24"/>
          <w:szCs w:val="24"/>
        </w:rPr>
        <w:t xml:space="preserve">. При этом консоль обхода начинает протравливание зажатого троса при нагрузке в районе </w:t>
      </w:r>
      <w:r w:rsidRPr="00575A5A">
        <w:rPr>
          <w:rFonts w:ascii="Times New Roman" w:hAnsi="Times New Roman"/>
          <w:b/>
          <w:sz w:val="24"/>
          <w:szCs w:val="24"/>
        </w:rPr>
        <w:t>25кН</w:t>
      </w:r>
      <w:r w:rsidRPr="00575A5A">
        <w:rPr>
          <w:rFonts w:ascii="Times New Roman" w:hAnsi="Times New Roman"/>
          <w:sz w:val="24"/>
          <w:szCs w:val="24"/>
        </w:rPr>
        <w:t>. Именно поэтому эти две муфты при установке должны устанавливаться друг от дружки с некоторым расстоянием (в 30-40 мм) для визуализации осуществления первичного протравливания троса.</w:t>
      </w:r>
    </w:p>
    <w:p w:rsidR="00575A5A" w:rsidRPr="00B24703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3A6C9D" w:rsidRDefault="003A6C9D" w:rsidP="003A6C9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A6C9D" w:rsidRPr="00B24703" w:rsidRDefault="003A6C9D" w:rsidP="008A0548">
      <w:pPr>
        <w:pStyle w:val="a9"/>
        <w:numPr>
          <w:ilvl w:val="0"/>
          <w:numId w:val="1"/>
        </w:numPr>
        <w:spacing w:after="0" w:line="240" w:lineRule="auto"/>
        <w:ind w:left="42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B24703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периодические проверки</w:t>
      </w:r>
    </w:p>
    <w:p w:rsidR="00B24703" w:rsidRPr="00B24703" w:rsidRDefault="00B24703" w:rsidP="00B24703">
      <w:pPr>
        <w:pStyle w:val="a9"/>
        <w:spacing w:after="0" w:line="240" w:lineRule="auto"/>
        <w:ind w:left="1572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596D71" w:rsidRPr="003E15D2" w:rsidRDefault="00596D71" w:rsidP="00596D7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3E15D2">
        <w:rPr>
          <w:rFonts w:ascii="Times New Roman" w:hAnsi="Times New Roman"/>
          <w:color w:val="000000"/>
          <w:sz w:val="24"/>
          <w:szCs w:val="24"/>
        </w:rPr>
        <w:t xml:space="preserve"> Любое СИЗ на котором замечены следы сильного износа, должно быть исключено из эксплуатации. </w:t>
      </w:r>
    </w:p>
    <w:p w:rsidR="00596D71" w:rsidRPr="003E15D2" w:rsidRDefault="00596D71" w:rsidP="00596D71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lastRenderedPageBreak/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</w:t>
      </w:r>
      <w:proofErr w:type="gramStart"/>
      <w:r w:rsidRPr="003E15D2">
        <w:rPr>
          <w:rFonts w:ascii="Times New Roman" w:hAnsi="Times New Roman"/>
          <w:sz w:val="24"/>
          <w:szCs w:val="24"/>
        </w:rPr>
        <w:t>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8A0548">
      <w:pPr>
        <w:pStyle w:val="a6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B24703">
        <w:rPr>
          <w:rStyle w:val="a4"/>
          <w:rFonts w:ascii="Times New Roman" w:hAnsi="Times New Roman"/>
          <w:bCs w:val="0"/>
          <w:sz w:val="28"/>
          <w:szCs w:val="28"/>
        </w:rPr>
        <w:t>5. Гарантии изготовителя</w:t>
      </w:r>
    </w:p>
    <w:p w:rsidR="00B24703" w:rsidRPr="00B24703" w:rsidRDefault="00B24703" w:rsidP="003A6C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Срок эксплуатации зависит от интенсивности использования.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«КРОК».</w:t>
      </w:r>
    </w:p>
    <w:p w:rsidR="003A6C9D" w:rsidRPr="00B24703" w:rsidRDefault="00244E87" w:rsidP="00244E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3A6C9D" w:rsidRPr="001C6135" w:rsidRDefault="003A6C9D" w:rsidP="003A6C9D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/>
        <w:ind w:firstLine="284"/>
        <w:jc w:val="both"/>
        <w:rPr>
          <w:color w:val="000000"/>
          <w:sz w:val="18"/>
          <w:szCs w:val="18"/>
        </w:rPr>
      </w:pPr>
    </w:p>
    <w:p w:rsidR="00244E87" w:rsidRPr="00B24703" w:rsidRDefault="00244E87" w:rsidP="008A05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bCs w:val="0"/>
          <w:color w:val="000000"/>
          <w:sz w:val="28"/>
          <w:szCs w:val="28"/>
        </w:rPr>
        <w:t>6.</w:t>
      </w:r>
      <w:r w:rsidRPr="00B24703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B24703" w:rsidRDefault="00B24703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изготовления 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продажи ____________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6C9D" w:rsidRDefault="005E7EF9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</w:t>
      </w:r>
    </w:p>
    <w:p w:rsidR="00504E90" w:rsidRDefault="00504E90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E90" w:rsidRDefault="00504E90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E90" w:rsidRPr="00B45FDA" w:rsidRDefault="00504E90" w:rsidP="005E7EF9">
      <w:pPr>
        <w:spacing w:after="0"/>
        <w:rPr>
          <w:rFonts w:ascii="Times New Roman" w:hAnsi="Times New Roman"/>
          <w:sz w:val="16"/>
          <w:szCs w:val="16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noProof/>
          <w:sz w:val="18"/>
          <w:szCs w:val="18"/>
        </w:rPr>
      </w:pPr>
    </w:p>
    <w:p w:rsidR="005E7EF9" w:rsidRDefault="005E7EF9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04E90" w:rsidRPr="00F21CB5" w:rsidRDefault="006F67E5" w:rsidP="00504E9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 id="_x0000_s1027" type="#_x0000_t75" style="position:absolute;margin-left:443.8pt;margin-top:-13.35pt;width:74.8pt;height:34.95pt;z-index:251663360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7" DrawAspect="Content" ObjectID="_1586068094" r:id="rId21"/>
        </w:pict>
      </w:r>
      <w:r w:rsidR="00504E90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2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90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504E90">
        <w:rPr>
          <w:rFonts w:ascii="Times New Roman" w:hAnsi="Times New Roman"/>
          <w:sz w:val="18"/>
          <w:szCs w:val="18"/>
        </w:rPr>
        <w:t>г.</w:t>
      </w:r>
      <w:r w:rsidR="00504E90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504E90" w:rsidRPr="00AB076C" w:rsidRDefault="00504E90" w:rsidP="00504E90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504E90" w:rsidRPr="00AB076C" w:rsidRDefault="00504E90" w:rsidP="00504E90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AB076C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504E90" w:rsidRPr="00AB076C" w:rsidRDefault="00504E90" w:rsidP="00504E90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3A6C9D" w:rsidRPr="00596D71" w:rsidRDefault="003A6C9D">
      <w:pPr>
        <w:rPr>
          <w:lang w:val="en-US"/>
        </w:rPr>
      </w:pPr>
    </w:p>
    <w:p w:rsidR="00504E90" w:rsidRPr="00596D71" w:rsidRDefault="00504E90">
      <w:pPr>
        <w:rPr>
          <w:lang w:val="en-US"/>
        </w:rPr>
      </w:pPr>
    </w:p>
    <w:p w:rsidR="00504E90" w:rsidRPr="00596D71" w:rsidRDefault="00504E90">
      <w:pPr>
        <w:rPr>
          <w:lang w:val="en-US"/>
        </w:rPr>
      </w:pPr>
    </w:p>
    <w:p w:rsidR="00504E90" w:rsidRPr="0085512F" w:rsidRDefault="00504E90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504E90" w:rsidRPr="005331D3" w:rsidTr="003B6470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504E90" w:rsidRPr="005331D3" w:rsidTr="003B6470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504E90" w:rsidRPr="00504E90" w:rsidRDefault="00504E90"/>
    <w:sectPr w:rsidR="00504E90" w:rsidRPr="00504E90" w:rsidSect="00B247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DC700E7"/>
    <w:multiLevelType w:val="hybridMultilevel"/>
    <w:tmpl w:val="95CE6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857CD9"/>
    <w:multiLevelType w:val="hybridMultilevel"/>
    <w:tmpl w:val="DD102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4119DA"/>
    <w:multiLevelType w:val="hybridMultilevel"/>
    <w:tmpl w:val="FDB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9D"/>
    <w:rsid w:val="00053DB5"/>
    <w:rsid w:val="000E6B14"/>
    <w:rsid w:val="000F260C"/>
    <w:rsid w:val="00104FA0"/>
    <w:rsid w:val="0016715A"/>
    <w:rsid w:val="00184EF1"/>
    <w:rsid w:val="00194888"/>
    <w:rsid w:val="001D7AB6"/>
    <w:rsid w:val="00235182"/>
    <w:rsid w:val="00244E87"/>
    <w:rsid w:val="00270F93"/>
    <w:rsid w:val="00376236"/>
    <w:rsid w:val="003A6C9D"/>
    <w:rsid w:val="003D38A1"/>
    <w:rsid w:val="003D634C"/>
    <w:rsid w:val="00473B6E"/>
    <w:rsid w:val="00504E90"/>
    <w:rsid w:val="00516EC4"/>
    <w:rsid w:val="00536025"/>
    <w:rsid w:val="00575A5A"/>
    <w:rsid w:val="00584005"/>
    <w:rsid w:val="00596D71"/>
    <w:rsid w:val="005E7EF9"/>
    <w:rsid w:val="006373CA"/>
    <w:rsid w:val="00694265"/>
    <w:rsid w:val="006F67E5"/>
    <w:rsid w:val="007038A9"/>
    <w:rsid w:val="007070F2"/>
    <w:rsid w:val="007601BC"/>
    <w:rsid w:val="007800FE"/>
    <w:rsid w:val="00785ADA"/>
    <w:rsid w:val="00796010"/>
    <w:rsid w:val="007A5D78"/>
    <w:rsid w:val="00861FF5"/>
    <w:rsid w:val="008A0548"/>
    <w:rsid w:val="009260CC"/>
    <w:rsid w:val="00932582"/>
    <w:rsid w:val="00953D61"/>
    <w:rsid w:val="00A03CCA"/>
    <w:rsid w:val="00A35B98"/>
    <w:rsid w:val="00A40E22"/>
    <w:rsid w:val="00A61BEC"/>
    <w:rsid w:val="00A710F7"/>
    <w:rsid w:val="00AB7BBD"/>
    <w:rsid w:val="00AD19D1"/>
    <w:rsid w:val="00B24703"/>
    <w:rsid w:val="00B6134D"/>
    <w:rsid w:val="00B805B2"/>
    <w:rsid w:val="00BB12A3"/>
    <w:rsid w:val="00BB42A8"/>
    <w:rsid w:val="00BB4EE8"/>
    <w:rsid w:val="00BC6421"/>
    <w:rsid w:val="00BD5A09"/>
    <w:rsid w:val="00BF4EBF"/>
    <w:rsid w:val="00CF1DD0"/>
    <w:rsid w:val="00D1605D"/>
    <w:rsid w:val="00D25027"/>
    <w:rsid w:val="00D46AA1"/>
    <w:rsid w:val="00D61643"/>
    <w:rsid w:val="00DA3EDC"/>
    <w:rsid w:val="00DD72D6"/>
    <w:rsid w:val="00E0336F"/>
    <w:rsid w:val="00F32BA5"/>
    <w:rsid w:val="00F45821"/>
    <w:rsid w:val="00FA161C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A6C9D"/>
    <w:rPr>
      <w:b/>
      <w:bCs/>
    </w:rPr>
  </w:style>
  <w:style w:type="character" w:styleId="a5">
    <w:name w:val="Hyperlink"/>
    <w:basedOn w:val="a0"/>
    <w:uiPriority w:val="99"/>
    <w:unhideWhenUsed/>
    <w:rsid w:val="003A6C9D"/>
    <w:rPr>
      <w:color w:val="0000FF"/>
      <w:u w:val="single"/>
    </w:rPr>
  </w:style>
  <w:style w:type="paragraph" w:styleId="a6">
    <w:name w:val="No Spacing"/>
    <w:uiPriority w:val="1"/>
    <w:qFormat/>
    <w:rsid w:val="003A6C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E87"/>
  </w:style>
  <w:style w:type="paragraph" w:styleId="a9">
    <w:name w:val="List Paragraph"/>
    <w:basedOn w:val="a"/>
    <w:uiPriority w:val="34"/>
    <w:qFormat/>
    <w:rsid w:val="00B2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Zal</cp:lastModifiedBy>
  <cp:revision>29</cp:revision>
  <dcterms:created xsi:type="dcterms:W3CDTF">2017-06-05T10:13:00Z</dcterms:created>
  <dcterms:modified xsi:type="dcterms:W3CDTF">2018-04-24T06:42:00Z</dcterms:modified>
</cp:coreProperties>
</file>